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100C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9F100C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9F100C" w:rsidRDefault="009F100C" w:rsidP="009F100C"/>
    <w:p w:rsidR="008B4252" w:rsidRPr="00AC313B" w:rsidRDefault="00AC313B" w:rsidP="008B4252">
      <w:pPr>
        <w:pStyle w:val="a3"/>
        <w:ind w:left="1287"/>
        <w:jc w:val="center"/>
        <w:rPr>
          <w:b/>
        </w:rPr>
      </w:pPr>
      <w:r w:rsidRPr="00AC313B">
        <w:rPr>
          <w:b/>
        </w:rPr>
        <w:t>«</w:t>
      </w:r>
      <w:r w:rsidRPr="00AC313B">
        <w:rPr>
          <w:b/>
          <w:color w:val="000000" w:themeColor="text1"/>
        </w:rPr>
        <w:t>АТЕРОСКЛЕРОЗ, ДИСЛИПИДЕМИИ</w:t>
      </w:r>
      <w:r w:rsidRPr="00AC313B">
        <w:rPr>
          <w:b/>
        </w:rPr>
        <w:t>»</w:t>
      </w:r>
    </w:p>
    <w:p w:rsidR="008B4252" w:rsidRPr="009F100C" w:rsidRDefault="008B4252" w:rsidP="008B4252">
      <w:pPr>
        <w:pStyle w:val="a3"/>
        <w:ind w:left="1287"/>
        <w:jc w:val="center"/>
        <w:rPr>
          <w:b/>
        </w:rPr>
      </w:pP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hAnsi="Times New Roman" w:cs="Times New Roman"/>
          <w:sz w:val="24"/>
          <w:szCs w:val="24"/>
        </w:rPr>
        <w:t>Примеры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тестов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промежуточного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итогового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контроля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с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эталонами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9F100C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9F100C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9F100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9F100C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ИТОГОВАЯ</w:t>
      </w:r>
      <w:r w:rsidRPr="009F10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9F100C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9F100C">
        <w:rPr>
          <w:b/>
        </w:rPr>
        <w:t>Требования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к</w:t>
      </w:r>
      <w:r w:rsidRPr="009F100C">
        <w:rPr>
          <w:b/>
          <w:spacing w:val="-4"/>
        </w:rPr>
        <w:t xml:space="preserve"> </w:t>
      </w:r>
      <w:r w:rsidRPr="009F100C">
        <w:rPr>
          <w:b/>
        </w:rPr>
        <w:t>итоговой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аттестации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Итоговая аттестация по дополнительной профессиональной образовательной программе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проводится в виде тестирования, должна выявлять теоретическую и практическую подготовку врача.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Лица, освоившие дополнительную профессиональную образовательную программу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9F100C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9F100C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8932"/>
      </w:tblGrid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9F100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профилактика нарушений липидного обмена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Оценка риска развития сердечно-сосудистых осложнений. </w:t>
            </w:r>
            <w:r w:rsidRPr="009F1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риска. </w:t>
            </w: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показатели в оценке сердечно-сосудистого риска. Немедикаментозная профилактика атеросклероза и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дислипидемий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. Диета, режим физической активности 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патогенез, критерии диагностики, терапия.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Гипертриглицеридемия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, критерии диагностики, терапия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2. Нарушения липидного обмена при гипертонической болезни и ИБС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Нарушения липидного обмена при гипертонической болезни.</w:t>
            </w: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Особенности этиологии и патогенеза липидных нарушений при гипертонической болезни. Немедикаментозное и медикаментозная терапия липидных нарушений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Нарушения липидного обмена при ишемической болезни сердца.</w:t>
            </w: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Немедикаментозное и медикаментозная терапия липидных нарушений. Особенности этиологии и патогенеза липидных нарушений при ишемической болезни сердца</w:t>
            </w:r>
          </w:p>
        </w:tc>
      </w:tr>
    </w:tbl>
    <w:p w:rsidR="009F100C" w:rsidRPr="009F100C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9F100C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9F100C" w:rsidRDefault="00EB737C" w:rsidP="00EB737C">
      <w:pPr>
        <w:pStyle w:val="a6"/>
        <w:spacing w:line="274" w:lineRule="exact"/>
        <w:jc w:val="both"/>
      </w:pPr>
      <w:r w:rsidRPr="009F100C">
        <w:t>1</w:t>
      </w:r>
      <w:r w:rsidRPr="009F100C">
        <w:rPr>
          <w:highlight w:val="yellow"/>
        </w:rPr>
        <w:t xml:space="preserve">.    </w:t>
      </w:r>
      <w:r w:rsidRPr="009F100C">
        <w:rPr>
          <w:spacing w:val="21"/>
          <w:highlight w:val="yellow"/>
        </w:rPr>
        <w:t xml:space="preserve"> </w:t>
      </w:r>
      <w:r w:rsidRPr="009F100C">
        <w:rPr>
          <w:highlight w:val="yellow"/>
        </w:rPr>
        <w:t>Примеры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тестов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для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промежуточного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итогового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контроля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с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эталонами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ответов:</w:t>
      </w:r>
    </w:p>
    <w:p w:rsidR="00EB737C" w:rsidRPr="009F100C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9F100C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9F100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9F10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один</w:t>
      </w:r>
      <w:r w:rsidRPr="009F100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9F100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9F100C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EB737C" w:rsidRPr="009F100C" w:rsidRDefault="00EB737C" w:rsidP="00EB737C">
      <w:pPr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Вопрос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 xml:space="preserve">1.01. Для дериватов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фиброевой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кислоты наиболее характерен эффект: </w:t>
      </w:r>
      <w:r w:rsidRPr="009F1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триглицеридов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повышение триглицеридов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общего холестерина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ХС-ЛНП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ХС-ЛВП </w:t>
      </w:r>
    </w:p>
    <w:p w:rsidR="00EB737C" w:rsidRPr="009F100C" w:rsidRDefault="00EB737C" w:rsidP="00EB737C">
      <w:pPr>
        <w:pStyle w:val="a4"/>
        <w:ind w:left="10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Эталонный</w:t>
      </w:r>
      <w:r w:rsidRPr="009F100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F100C">
        <w:rPr>
          <w:rFonts w:ascii="Times New Roman" w:hAnsi="Times New Roman"/>
          <w:sz w:val="24"/>
          <w:szCs w:val="24"/>
          <w:lang w:eastAsia="en-US"/>
        </w:rPr>
        <w:t>ответ: 1</w:t>
      </w:r>
    </w:p>
    <w:p w:rsidR="00EB737C" w:rsidRPr="009F100C" w:rsidRDefault="00EB737C" w:rsidP="00EB737C">
      <w:pPr>
        <w:widowControl w:val="0"/>
        <w:autoSpaceDE w:val="0"/>
        <w:autoSpaceDN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B737C" w:rsidRPr="009F100C" w:rsidRDefault="00EB737C" w:rsidP="00EB737C">
      <w:pPr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Вопрос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1.02.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гиполипидемического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связан со</w:t>
      </w:r>
    </w:p>
    <w:p w:rsidR="00EB737C" w:rsidRPr="009F100C" w:rsidRDefault="00EB737C" w:rsidP="00EB737C">
      <w:pPr>
        <w:pStyle w:val="a3"/>
        <w:numPr>
          <w:ilvl w:val="0"/>
          <w:numId w:val="8"/>
        </w:numPr>
        <w:rPr>
          <w:rFonts w:eastAsia="Calibri"/>
          <w:color w:val="000000"/>
        </w:rPr>
      </w:pPr>
      <w:r w:rsidRPr="009F100C">
        <w:rPr>
          <w:rFonts w:eastAsia="Calibri"/>
          <w:color w:val="000000"/>
        </w:rPr>
        <w:t xml:space="preserve">снижением синтеза холестерина в печени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абсорбцией желчи в кишечнике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>нарушением всасывания ЛПНП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снижением синтеза триглицеридов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усилением катаболизма липопротеидов </w:t>
      </w:r>
    </w:p>
    <w:p w:rsidR="00EB737C" w:rsidRPr="009F100C" w:rsidRDefault="00EB737C" w:rsidP="00EB737C">
      <w:pPr>
        <w:pStyle w:val="a4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Эталонный</w:t>
      </w:r>
      <w:r w:rsidRPr="009F100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F100C">
        <w:rPr>
          <w:rFonts w:ascii="Times New Roman" w:hAnsi="Times New Roman"/>
          <w:sz w:val="24"/>
          <w:szCs w:val="24"/>
          <w:lang w:eastAsia="en-US"/>
        </w:rPr>
        <w:t>ответ: 1</w:t>
      </w:r>
    </w:p>
    <w:p w:rsidR="00EB737C" w:rsidRPr="009F100C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9F100C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9F100C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9F100C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9F100C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Оценка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выставляется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9F10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доле</w:t>
      </w:r>
      <w:r w:rsidRPr="009F100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ответов: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70-100%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«не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9F100C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9F100C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9F100C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9F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E0673"/>
    <w:rsid w:val="00250D94"/>
    <w:rsid w:val="00286CEF"/>
    <w:rsid w:val="003100D4"/>
    <w:rsid w:val="00366769"/>
    <w:rsid w:val="004450A8"/>
    <w:rsid w:val="00515B65"/>
    <w:rsid w:val="00576004"/>
    <w:rsid w:val="005F57A0"/>
    <w:rsid w:val="006B64F6"/>
    <w:rsid w:val="007E20D9"/>
    <w:rsid w:val="008146B2"/>
    <w:rsid w:val="00870497"/>
    <w:rsid w:val="008B4252"/>
    <w:rsid w:val="00922701"/>
    <w:rsid w:val="009F100C"/>
    <w:rsid w:val="00A86DFD"/>
    <w:rsid w:val="00AC313B"/>
    <w:rsid w:val="00B531AF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2025-05-21T15:44:00Z</dcterms:created>
  <dcterms:modified xsi:type="dcterms:W3CDTF">2025-05-21T15:44:00Z</dcterms:modified>
</cp:coreProperties>
</file>